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50C86">
      <w:pPr>
        <w:wordWrap w:val="0"/>
        <w:spacing w:before="60" w:line="600" w:lineRule="atLeast"/>
        <w:jc w:val="center"/>
        <w:textAlignment w:val="baseline"/>
        <w:rPr>
          <w:rFonts w:ascii="宋体" w:hAnsi="宋体" w:eastAsia="宋体"/>
          <w:b/>
          <w:bCs w:val="0"/>
          <w:sz w:val="44"/>
        </w:rPr>
      </w:pPr>
      <w:r>
        <w:rPr>
          <w:rFonts w:ascii="宋体" w:hAnsi="宋体" w:eastAsia="宋体" w:cs="黑体"/>
          <w:b/>
          <w:bCs w:val="0"/>
          <w:color w:val="000000"/>
          <w:sz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11379200</wp:posOffset>
            </wp:positionH>
            <wp:positionV relativeFrom="topMargin">
              <wp:posOffset>10566400</wp:posOffset>
            </wp:positionV>
            <wp:extent cx="469900" cy="381000"/>
            <wp:effectExtent l="0" t="0" r="635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黑体"/>
          <w:b/>
          <w:bCs w:val="0"/>
          <w:color w:val="000000"/>
          <w:sz w:val="44"/>
        </w:rPr>
        <w:t>哈三中2025年高三学年第二次模拟考试</w:t>
      </w:r>
    </w:p>
    <w:p w14:paraId="799E2CEB">
      <w:pPr>
        <w:wordWrap w:val="0"/>
        <w:spacing w:line="680" w:lineRule="atLeast"/>
        <w:jc w:val="center"/>
        <w:textAlignment w:val="baseline"/>
        <w:rPr>
          <w:rFonts w:ascii="宋体" w:hAnsi="宋体" w:eastAsia="宋体"/>
          <w:b/>
          <w:bCs w:val="0"/>
          <w:sz w:val="50"/>
        </w:rPr>
      </w:pPr>
      <w:r>
        <w:rPr>
          <w:rFonts w:ascii="宋体" w:hAnsi="宋体" w:eastAsia="宋体" w:cs="楷体"/>
          <w:b/>
          <w:bCs w:val="0"/>
          <w:color w:val="000000"/>
          <w:sz w:val="50"/>
        </w:rPr>
        <w:t>地理 试卷</w:t>
      </w:r>
    </w:p>
    <w:p w14:paraId="442E3513">
      <w:pPr>
        <w:wordWrap w:val="0"/>
        <w:spacing w:line="380" w:lineRule="atLeast"/>
        <w:ind w:left="60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本试卷共100分。考试结束后，将本试卷和答题卡一并交回。</w:t>
      </w:r>
    </w:p>
    <w:p w14:paraId="3BB6F47E">
      <w:pPr>
        <w:wordWrap w:val="0"/>
        <w:spacing w:line="380" w:lineRule="atLeast"/>
        <w:ind w:left="1700" w:hanging="1640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注意事项：1.答题前，考生先将自己的姓名、准考证号码填写清楚，将条形码准确粘贴在条形码区域内。</w:t>
      </w:r>
    </w:p>
    <w:p w14:paraId="74CE5066">
      <w:pPr>
        <w:wordWrap w:val="0"/>
        <w:spacing w:line="380" w:lineRule="atLeast"/>
        <w:ind w:left="1680" w:right="40" w:hanging="380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2.选择题必须使用2B铅笔填涂；非选择题必须使用0.5毫米黑色字迹的签字笔书写，字体工整、笔迹清楚。</w:t>
      </w:r>
    </w:p>
    <w:p w14:paraId="29EF55F6">
      <w:pPr>
        <w:wordWrap w:val="0"/>
        <w:spacing w:line="380" w:lineRule="atLeast"/>
        <w:ind w:left="1680" w:hanging="380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3.请按照题号顺序在答题卡各题目的答题区域内作答，超出答题区域书写的答案无效；在草稿纸、试卷上答题无效。</w:t>
      </w:r>
    </w:p>
    <w:p w14:paraId="5DC1906A">
      <w:pPr>
        <w:wordWrap w:val="0"/>
        <w:spacing w:line="380" w:lineRule="atLeast"/>
        <w:ind w:left="1280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4.作图可先使用铅笔画出，确定后必须用黑色字迹的签字笔描黑。</w:t>
      </w:r>
    </w:p>
    <w:p w14:paraId="65CE0860">
      <w:pPr>
        <w:wordWrap w:val="0"/>
        <w:spacing w:line="380" w:lineRule="atLeast"/>
        <w:ind w:left="1680" w:right="60" w:hanging="380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5.保持卡面清洁，不要折叠、不要弄破、弄皱，不准使用涂改液、修正带、刮纸刀。</w:t>
      </w:r>
    </w:p>
    <w:p w14:paraId="4B6C9891">
      <w:pPr>
        <w:wordWrap w:val="0"/>
        <w:spacing w:line="440" w:lineRule="atLeast"/>
        <w:jc w:val="center"/>
        <w:textAlignment w:val="baseline"/>
        <w:rPr>
          <w:rFonts w:ascii="宋体" w:hAnsi="宋体" w:eastAsia="宋体" w:cs="宋体"/>
          <w:bCs/>
          <w:color w:val="000000"/>
          <w:sz w:val="33"/>
        </w:rPr>
      </w:pPr>
    </w:p>
    <w:p w14:paraId="2C242ADC">
      <w:pPr>
        <w:wordWrap w:val="0"/>
        <w:spacing w:line="336" w:lineRule="auto"/>
        <w:jc w:val="center"/>
        <w:textAlignment w:val="baseline"/>
        <w:rPr>
          <w:rFonts w:ascii="宋体" w:hAnsi="宋体" w:eastAsia="宋体"/>
          <w:bCs/>
          <w:sz w:val="33"/>
        </w:rPr>
      </w:pPr>
      <w:r>
        <w:rPr>
          <w:rFonts w:ascii="宋体" w:hAnsi="宋体" w:eastAsia="宋体" w:cs="宋体"/>
          <w:bCs/>
          <w:color w:val="000000"/>
          <w:sz w:val="33"/>
        </w:rPr>
        <w:t>第Ⅰ卷 选择题</w:t>
      </w:r>
    </w:p>
    <w:p w14:paraId="028D078D">
      <w:pPr>
        <w:wordWrap w:val="0"/>
        <w:spacing w:line="336" w:lineRule="auto"/>
        <w:ind w:left="520" w:right="500" w:hanging="52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宋体"/>
          <w:bCs/>
          <w:color w:val="000000"/>
          <w:sz w:val="24"/>
        </w:rPr>
        <w:t>一、选择题：本题共16小题，每小题3分，共48分。在每小题给出的四个选项中，只有一项是符合题目要求的。</w:t>
      </w:r>
    </w:p>
    <w:p w14:paraId="77676697">
      <w:pPr>
        <w:wordWrap w:val="0"/>
        <w:spacing w:line="336" w:lineRule="auto"/>
        <w:ind w:firstLine="500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2024年5月，中国电动摩托车龙头企业Y科技集团在印度尼西亚S工业园启动智能产研基地建设。该项目占地27公顷，拥有自动装配线和机器人焊接系统，年产能300万台。Y科技集团采用“本土化研发+智能制造+绿色赋能(通过采用环保技术和实践，提高能源效率，减少碳足迹，并促进生态平衡的一种理念和行动)”模式，打造集智能化、数字化、环保于一体的东南亚高端电动摩托车制造枢纽。据此定成人~3题。</w:t>
      </w:r>
    </w:p>
    <w:p w14:paraId="54D79BCD">
      <w:pPr>
        <w:wordWrap w:val="0"/>
        <w:spacing w:line="336" w:lineRule="auto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1. Y科技集团在印度尼西亚进行本土化研发的主要目的是</w:t>
      </w:r>
    </w:p>
    <w:p w14:paraId="6E80FC6F">
      <w:pPr>
        <w:wordWrap w:val="0"/>
        <w:spacing w:line="336" w:lineRule="auto"/>
        <w:ind w:left="500"/>
        <w:textAlignment w:val="baseline"/>
        <w:rPr>
          <w:rFonts w:ascii="宋体" w:hAnsi="宋体" w:eastAsia="宋体"/>
          <w:bCs/>
          <w:sz w:val="26"/>
        </w:rPr>
      </w:pPr>
      <w:r>
        <w:rPr>
          <w:rFonts w:ascii="宋体" w:hAnsi="宋体" w:eastAsia="宋体" w:cs="楷体"/>
          <w:bCs/>
          <w:color w:val="000000"/>
          <w:sz w:val="26"/>
        </w:rPr>
        <w:t>A.规避国际贸易壁垒                  B.降低企业研发成本</w:t>
      </w:r>
    </w:p>
    <w:p w14:paraId="65611CEB">
      <w:pPr>
        <w:wordWrap w:val="0"/>
        <w:spacing w:line="336" w:lineRule="auto"/>
        <w:ind w:left="500"/>
        <w:textAlignment w:val="baseline"/>
        <w:rPr>
          <w:rFonts w:ascii="宋体" w:hAnsi="宋体" w:eastAsia="宋体"/>
          <w:bCs/>
          <w:sz w:val="26"/>
        </w:rPr>
      </w:pPr>
      <w:r>
        <w:rPr>
          <w:rFonts w:ascii="宋体" w:hAnsi="宋体" w:eastAsia="宋体" w:cs="楷体"/>
          <w:bCs/>
          <w:color w:val="000000"/>
          <w:sz w:val="26"/>
        </w:rPr>
        <w:t>C.适应区域市场需求                   D.转移过剩生产能力</w:t>
      </w:r>
    </w:p>
    <w:p w14:paraId="599F411B">
      <w:pPr>
        <w:wordWrap w:val="0"/>
        <w:spacing w:line="336" w:lineRule="auto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2.印度尼西亚吸引Y科技集团建设智能产研基地的主要区位条件是</w:t>
      </w:r>
    </w:p>
    <w:p w14:paraId="4D918B90">
      <w:pPr>
        <w:wordWrap w:val="0"/>
        <w:spacing w:line="336" w:lineRule="auto"/>
        <w:ind w:left="500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①劳动力丰富                         ②制造业基础好</w:t>
      </w:r>
    </w:p>
    <w:p w14:paraId="63A3FC96">
      <w:pPr>
        <w:wordWrap w:val="0"/>
        <w:spacing w:line="336" w:lineRule="auto"/>
        <w:ind w:left="500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③土地价格低                         ④市场潜力巨大</w:t>
      </w:r>
    </w:p>
    <w:p w14:paraId="251DE833">
      <w:pPr>
        <w:wordWrap w:val="0"/>
        <w:spacing w:line="336" w:lineRule="auto"/>
        <w:ind w:left="500"/>
        <w:textAlignment w:val="baseline"/>
        <w:rPr>
          <w:rFonts w:ascii="宋体" w:hAnsi="宋体" w:eastAsia="宋体"/>
          <w:bCs/>
          <w:sz w:val="26"/>
        </w:rPr>
      </w:pPr>
      <w:r>
        <w:rPr>
          <w:rFonts w:ascii="宋体" w:hAnsi="宋体" w:eastAsia="宋体" w:cs="楷体"/>
          <w:bCs/>
          <w:color w:val="000000"/>
          <w:sz w:val="26"/>
        </w:rPr>
        <w:t>A. ①②           B. ②④           C. ①③           D. ③④</w:t>
      </w:r>
    </w:p>
    <w:p w14:paraId="0761C0FA">
      <w:pPr>
        <w:wordWrap w:val="0"/>
        <w:spacing w:line="336" w:lineRule="auto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3.推测该基地为实现“绿色赋能”可采取的措施是</w:t>
      </w:r>
    </w:p>
    <w:p w14:paraId="4C34DF22">
      <w:pPr>
        <w:wordWrap w:val="0"/>
        <w:spacing w:line="336" w:lineRule="auto"/>
        <w:ind w:left="500"/>
        <w:textAlignment w:val="baseline"/>
        <w:rPr>
          <w:rFonts w:ascii="宋体" w:hAnsi="宋体" w:eastAsia="宋体"/>
          <w:bCs/>
          <w:sz w:val="26"/>
        </w:rPr>
      </w:pPr>
      <w:r>
        <w:rPr>
          <w:rFonts w:ascii="宋体" w:hAnsi="宋体" w:eastAsia="宋体" w:cs="楷体"/>
          <w:bCs/>
          <w:color w:val="000000"/>
          <w:sz w:val="26"/>
        </w:rPr>
        <w:t>A.基地全部采用光伏发电               B.采用可回收塑料制造车身</w:t>
      </w:r>
    </w:p>
    <w:p w14:paraId="2360EA8E">
      <w:pPr>
        <w:wordWrap w:val="0"/>
        <w:spacing w:line="336" w:lineRule="auto"/>
        <w:ind w:left="500"/>
        <w:textAlignment w:val="baseline"/>
        <w:rPr>
          <w:rFonts w:ascii="宋体" w:hAnsi="宋体" w:eastAsia="宋体"/>
          <w:bCs/>
          <w:sz w:val="26"/>
        </w:rPr>
      </w:pPr>
      <w:r>
        <w:rPr>
          <w:rFonts w:ascii="宋体" w:hAnsi="宋体" w:eastAsia="宋体" w:cs="楷体"/>
          <w:bCs/>
          <w:color w:val="000000"/>
          <w:sz w:val="26"/>
        </w:rPr>
        <w:t>C.建立动力电池回收体系               D.在厂区周边进行生态修复</w:t>
      </w:r>
    </w:p>
    <w:p w14:paraId="5812FCD6">
      <w:pPr>
        <w:spacing w:line="20" w:lineRule="exact"/>
        <w:textAlignment w:val="bottom"/>
        <w:rPr>
          <w:rFonts w:ascii="宋体" w:hAnsi="宋体" w:eastAsia="宋体"/>
          <w:bCs/>
        </w:rPr>
      </w:pPr>
      <w:r>
        <w:rPr>
          <w:rFonts w:ascii="宋体" w:hAnsi="宋体" w:eastAsia="宋体"/>
          <w:bCs/>
        </w:rPr>
        <w:br w:type="column"/>
      </w:r>
    </w:p>
    <w:p w14:paraId="6B7A80DF">
      <w:pPr>
        <w:wordWrap w:val="0"/>
        <w:spacing w:before="60" w:line="380" w:lineRule="atLeast"/>
        <w:ind w:right="60" w:firstLine="480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宁夏引黄灌溉绿洲多年平均降水量189mm，蒸发量 1634mm，90%以上用水依赖黄河。2008~2017年，随着节水工程的推进，当地农业灌溉效率提升26%，对区域水循环及生态环境产生一定影响。图1为2008~2017年宁夏绿洲农业灌溉用水效率变化示意图。单位面积毛灌溉水量为取水口引水量与灌溉面积之比，单位面积净灌溉水量为进入田间的农业灌溉水量与灌溉面积之比。据此完成4~5题。</w:t>
      </w:r>
    </w:p>
    <w:p w14:paraId="55AED0C3">
      <w:pPr>
        <w:wordWrap w:val="0"/>
        <w:spacing w:line="0" w:lineRule="atLeast"/>
        <w:jc w:val="center"/>
        <w:textAlignment w:val="baseline"/>
        <w:rPr>
          <w:rFonts w:ascii="宋体" w:hAnsi="宋体" w:eastAsia="宋体"/>
          <w:bCs/>
        </w:rPr>
      </w:pPr>
      <w:r>
        <w:rPr>
          <w:rFonts w:ascii="宋体" w:hAnsi="宋体" w:eastAsia="宋体"/>
          <w:bCs/>
        </w:rPr>
        <w:drawing>
          <wp:inline distT="0" distB="0" distL="0" distR="0">
            <wp:extent cx="3302000" cy="2324100"/>
            <wp:effectExtent l="0" t="0" r="0" b="0"/>
            <wp:docPr id="2" name="Draw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20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BBC75">
      <w:pPr>
        <w:wordWrap w:val="0"/>
        <w:spacing w:line="380" w:lineRule="atLeast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4.随着节水工程的推进，引黄灌溉绿洲地下水位却逐渐下降，其主要原因是</w:t>
      </w:r>
    </w:p>
    <w:p w14:paraId="41C99265">
      <w:pPr>
        <w:wordWrap w:val="0"/>
        <w:spacing w:line="360" w:lineRule="atLeast"/>
        <w:ind w:left="480"/>
        <w:textAlignment w:val="baseline"/>
        <w:rPr>
          <w:rFonts w:ascii="宋体" w:hAnsi="宋体" w:eastAsia="宋体"/>
          <w:bCs/>
          <w:sz w:val="26"/>
        </w:rPr>
      </w:pPr>
      <w:r>
        <w:rPr>
          <w:rFonts w:ascii="宋体" w:hAnsi="宋体" w:eastAsia="宋体" w:cs="楷体"/>
          <w:bCs/>
          <w:color w:val="000000"/>
          <w:sz w:val="26"/>
        </w:rPr>
        <w:t>A.毛灌溉水量减少                    B.灌渠入渗量减少</w:t>
      </w:r>
    </w:p>
    <w:p w14:paraId="6D0207E0">
      <w:pPr>
        <w:wordWrap w:val="0"/>
        <w:spacing w:line="360" w:lineRule="atLeast"/>
        <w:ind w:left="480"/>
        <w:textAlignment w:val="baseline"/>
        <w:rPr>
          <w:rFonts w:ascii="宋体" w:hAnsi="宋体" w:eastAsia="宋体"/>
          <w:bCs/>
          <w:sz w:val="26"/>
        </w:rPr>
      </w:pPr>
      <w:r>
        <w:rPr>
          <w:rFonts w:ascii="宋体" w:hAnsi="宋体" w:eastAsia="宋体" w:cs="楷体"/>
          <w:bCs/>
          <w:color w:val="000000"/>
          <w:sz w:val="26"/>
        </w:rPr>
        <w:t>C.植物根系吸收变多                  D.蒸发量不断增加</w:t>
      </w:r>
    </w:p>
    <w:p w14:paraId="01F51EC1">
      <w:pPr>
        <w:wordWrap w:val="0"/>
        <w:spacing w:line="380" w:lineRule="atLeast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5.为维持引黄灌溉绿洲生态健康，最合理的措施是</w:t>
      </w:r>
    </w:p>
    <w:p w14:paraId="33A987B0">
      <w:pPr>
        <w:wordWrap w:val="0"/>
        <w:spacing w:line="360" w:lineRule="atLeast"/>
        <w:ind w:left="480"/>
        <w:textAlignment w:val="baseline"/>
        <w:rPr>
          <w:rFonts w:ascii="宋体" w:hAnsi="宋体" w:eastAsia="宋体"/>
          <w:bCs/>
          <w:sz w:val="26"/>
        </w:rPr>
      </w:pPr>
      <w:r>
        <w:rPr>
          <w:rFonts w:ascii="宋体" w:hAnsi="宋体" w:eastAsia="宋体" w:cs="楷体"/>
          <w:bCs/>
          <w:color w:val="000000"/>
          <w:sz w:val="26"/>
        </w:rPr>
        <w:t>A.扩大灌溉面积   B.减少生态补水    C.加强灌渠防渗  D.限制地下水开采</w:t>
      </w:r>
    </w:p>
    <w:p w14:paraId="09C73FEA">
      <w:pPr>
        <w:wordWrap w:val="0"/>
        <w:spacing w:line="380" w:lineRule="atLeast"/>
        <w:ind w:firstLine="480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越后要有地区位于日本本州岛中北部，面积760平方公里，是日本传统农耕地区。20世纪90年代，越后妻有地区人口仅有7.5万，其中三分之一为65岁以上的老年人。为应对乡村衰退危机，该地区于2000年开始举办“大地艺术祭”活动，将艺术创作与农田、民宅结合，培育乡村文化旅游产业，形成了艺术家、志愿者与村民之间跨越地域、年龄和领域的合作。图2为越后要有地区位置示意图。据此完成6~8题。</w:t>
      </w:r>
    </w:p>
    <w:p w14:paraId="3BEB9760">
      <w:pPr>
        <w:wordWrap w:val="0"/>
        <w:spacing w:line="0" w:lineRule="atLeast"/>
        <w:jc w:val="center"/>
        <w:textAlignment w:val="baseline"/>
        <w:rPr>
          <w:rFonts w:ascii="宋体" w:hAnsi="宋体" w:eastAsia="宋体"/>
          <w:bCs/>
        </w:rPr>
        <w:sectPr>
          <w:pgSz w:w="23800" w:h="16820" w:orient="landscape"/>
          <w:pgMar w:top="1120" w:right="1480" w:bottom="1120" w:left="1480" w:header="720" w:footer="720" w:gutter="0"/>
          <w:cols w:equalWidth="0" w:num="2">
            <w:col w:w="9960" w:space="1100"/>
            <w:col w:w="9800"/>
          </w:cols>
        </w:sectPr>
      </w:pPr>
      <w:r>
        <w:rPr>
          <w:rFonts w:ascii="宋体" w:hAnsi="宋体" w:eastAsia="宋体"/>
          <w:bCs/>
        </w:rPr>
        <w:drawing>
          <wp:inline distT="0" distB="0" distL="0" distR="0">
            <wp:extent cx="2413000" cy="2895600"/>
            <wp:effectExtent l="0" t="0" r="0" b="0"/>
            <wp:docPr id="4" name="Draw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3000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B0D86">
      <w:pPr>
        <w:wordWrap w:val="0"/>
        <w:spacing w:before="200" w:line="340" w:lineRule="atLeast"/>
        <w:ind w:firstLine="42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6.20世纪后期，导致越后要有地区人口老龄化的主要原因是</w:t>
      </w:r>
    </w:p>
    <w:p w14:paraId="20E2AABE">
      <w:pPr>
        <w:wordWrap w:val="0"/>
        <w:spacing w:line="340" w:lineRule="atLeast"/>
        <w:ind w:left="460" w:firstLine="22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A.劳动力大量流出                    B.医疗水平较高</w:t>
      </w:r>
    </w:p>
    <w:p w14:paraId="32BD056E">
      <w:pPr>
        <w:wordWrap w:val="0"/>
        <w:spacing w:line="340" w:lineRule="atLeast"/>
        <w:ind w:left="460" w:firstLine="22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C.安土重迁的意识                    D.生育政策失效</w:t>
      </w:r>
    </w:p>
    <w:p w14:paraId="18860E9A">
      <w:pPr>
        <w:wordWrap w:val="0"/>
        <w:spacing w:line="340" w:lineRule="atLeast"/>
        <w:ind w:firstLine="42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7.越后要有地区举办“大地艺术祭”的优势区位是</w:t>
      </w:r>
    </w:p>
    <w:p w14:paraId="69EAE1EA">
      <w:pPr>
        <w:wordWrap w:val="0"/>
        <w:spacing w:line="340" w:lineRule="atLeast"/>
        <w:ind w:left="460" w:firstLine="22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A.临近东京都市圈                    B.冰雪旅游资源丰富</w:t>
      </w:r>
    </w:p>
    <w:p w14:paraId="72E9C225">
      <w:pPr>
        <w:wordWrap w:val="0"/>
        <w:spacing w:line="340" w:lineRule="atLeast"/>
        <w:ind w:left="68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C.传统农耕文化深厚                 D.高速公路网络密集</w:t>
      </w:r>
    </w:p>
    <w:p w14:paraId="0CC9F41D">
      <w:pPr>
        <w:wordWrap w:val="0"/>
        <w:spacing w:line="340" w:lineRule="atLeast"/>
        <w:ind w:firstLine="42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8“大地艺术祭”对当地的积极影响是</w:t>
      </w:r>
    </w:p>
    <w:p w14:paraId="3AA6BAF3">
      <w:pPr>
        <w:wordWrap w:val="0"/>
        <w:spacing w:line="340" w:lineRule="atLeast"/>
        <w:ind w:left="68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①提高土地资源利用率             ②农业复垦面积增加</w:t>
      </w:r>
    </w:p>
    <w:p w14:paraId="295EE1E2">
      <w:pPr>
        <w:wordWrap w:val="0"/>
        <w:spacing w:line="340" w:lineRule="atLeast"/>
        <w:ind w:left="68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③缓解劳动人口外流               ④推进乡村城镇化建设</w:t>
      </w:r>
    </w:p>
    <w:p w14:paraId="380C5A44">
      <w:pPr>
        <w:wordWrap w:val="0"/>
        <w:spacing w:line="340" w:lineRule="atLeast"/>
        <w:ind w:left="68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A. ①③          B. ②③          C. ①④           D. ②④</w:t>
      </w:r>
    </w:p>
    <w:p w14:paraId="4CEFC143">
      <w:pPr>
        <w:wordWrap w:val="0"/>
        <w:spacing w:line="340" w:lineRule="atLeast"/>
        <w:ind w:firstLine="42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“大气海绵效应”是指随着全球变暖，大气吸收和释放水分的能力显著增强，类似海绵吸水能力增加的现象。该现象对全球水文气候产生了显著影响，世界多地频繁出现暴雨、干旱等来回反复的极端天气，犹如遭鞭打的“天侯鞅笞”现象。有研究者认为美国的加利福尼亚州南部正经历“天候鞭笞”过程：2022~2023年冬天的雨季非常潮湿，但2024年夏季天气变得炎热干燥，这成为L市2024年冬季火灾肆虐的重要原因。图3示意美国区域略图，据此完成9~10题。</w:t>
      </w:r>
    </w:p>
    <w:p w14:paraId="24D60A06">
      <w:pPr>
        <w:wordWrap w:val="0"/>
        <w:spacing w:line="0" w:lineRule="atLeast"/>
        <w:jc w:val="center"/>
        <w:textAlignment w:val="baseline"/>
        <w:rPr>
          <w:rFonts w:ascii="宋体" w:hAnsi="宋体" w:eastAsia="宋体"/>
          <w:bCs/>
        </w:rPr>
      </w:pPr>
      <w:r>
        <w:rPr>
          <w:rFonts w:ascii="宋体" w:hAnsi="宋体" w:eastAsia="宋体"/>
          <w:bCs/>
        </w:rPr>
        <w:drawing>
          <wp:inline distT="0" distB="0" distL="0" distR="0">
            <wp:extent cx="3429000" cy="2362200"/>
            <wp:effectExtent l="0" t="0" r="0" b="0"/>
            <wp:docPr id="6" name="Draw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B441F">
      <w:pPr>
        <w:wordWrap w:val="0"/>
        <w:spacing w:line="340" w:lineRule="atLeast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推测在“大气海绵效应”下，甲、乙两地出现的气候链式反应符合实际的是</w:t>
      </w:r>
    </w:p>
    <w:p w14:paraId="5C813F16">
      <w:pPr>
        <w:wordWrap w:val="0"/>
        <w:spacing w:line="340" w:lineRule="atLeast"/>
        <w:ind w:left="46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A.甲地：大气释放水分增多一空气水分减少一气候趋于干旱</w:t>
      </w:r>
    </w:p>
    <w:p w14:paraId="655E296C">
      <w:pPr>
        <w:wordWrap w:val="0"/>
        <w:spacing w:line="340" w:lineRule="atLeast"/>
        <w:ind w:left="46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B.乙地：植物蒸腾作用增强一空气湿度增加一气候趋于湿润</w:t>
      </w:r>
    </w:p>
    <w:p w14:paraId="68680CCB">
      <w:pPr>
        <w:wordWrap w:val="0"/>
        <w:spacing w:line="340" w:lineRule="atLeast"/>
        <w:ind w:left="46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C.甲地：冬季南北温差增大一冷锋活动增多一加剧大气冷湿</w:t>
      </w:r>
    </w:p>
    <w:p w14:paraId="7ABFAB8C">
      <w:pPr>
        <w:wordWrap w:val="0"/>
        <w:spacing w:line="340" w:lineRule="atLeast"/>
        <w:ind w:left="46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D.乙地：大气吸收水分增强—土壤缺水严重—加剧大气干旱</w:t>
      </w:r>
    </w:p>
    <w:p w14:paraId="262517F7">
      <w:pPr>
        <w:wordWrap w:val="0"/>
        <w:spacing w:line="340" w:lineRule="atLeast"/>
        <w:ind w:left="380" w:right="40" w:hanging="38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10.从2022年冬季到2024年夏季的气候变化过程对L 市在2024年冬季山火中的直接助推作用是</w:t>
      </w:r>
    </w:p>
    <w:p w14:paraId="78152D2D">
      <w:pPr>
        <w:wordWrap w:val="0"/>
        <w:spacing w:line="340" w:lineRule="atLeast"/>
        <w:ind w:left="46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A.风力风向变化大                    B.可燃物增多</w:t>
      </w:r>
    </w:p>
    <w:p w14:paraId="5F731E5E">
      <w:pPr>
        <w:wordWrap w:val="0"/>
        <w:spacing w:line="340" w:lineRule="atLeast"/>
        <w:ind w:left="46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C.河流缺水严重                      D.气候暖干化</w:t>
      </w:r>
    </w:p>
    <w:p w14:paraId="5E60E246">
      <w:pPr>
        <w:wordWrap w:val="0"/>
        <w:spacing w:line="360" w:lineRule="exact"/>
        <w:textAlignment w:val="baseline"/>
        <w:rPr>
          <w:rFonts w:ascii="宋体" w:hAnsi="宋体" w:eastAsia="宋体"/>
          <w:bCs/>
          <w:sz w:val="24"/>
        </w:rPr>
      </w:pPr>
    </w:p>
    <w:p w14:paraId="45D5875F">
      <w:pPr>
        <w:wordWrap w:val="0"/>
        <w:spacing w:line="280" w:lineRule="atLeast"/>
        <w:jc w:val="center"/>
        <w:textAlignment w:val="baseline"/>
        <w:rPr>
          <w:rFonts w:hint="eastAsia" w:ascii="宋体" w:hAnsi="宋体" w:eastAsia="宋体"/>
          <w:bCs/>
          <w:sz w:val="22"/>
        </w:rPr>
      </w:pPr>
    </w:p>
    <w:p w14:paraId="2BB72F97">
      <w:pPr>
        <w:spacing w:line="20" w:lineRule="exact"/>
        <w:textAlignment w:val="bottom"/>
        <w:rPr>
          <w:rFonts w:ascii="宋体" w:hAnsi="宋体" w:eastAsia="宋体"/>
          <w:bCs/>
        </w:rPr>
      </w:pPr>
      <w:r>
        <w:rPr>
          <w:rFonts w:ascii="宋体" w:hAnsi="宋体" w:eastAsia="宋体"/>
          <w:bCs/>
        </w:rPr>
        <w:br w:type="column"/>
      </w:r>
    </w:p>
    <w:p w14:paraId="2DA972CC">
      <w:pPr>
        <w:wordWrap w:val="0"/>
        <w:spacing w:before="160" w:line="340" w:lineRule="atLeast"/>
        <w:ind w:left="100" w:right="400" w:firstLine="46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德黑兰作为伊朗首都已有两个多世纪，2025年1月，伊朗政府发言人表示，由于德黑兰面临日益严峻的自身挑战，该国政府正认真研究迁都马克兰地区的可能性。马克兰地区目前是伊朗最不发达、人口最稀少的地区之一，需新建交通、能源、行政设施，预估成本数百亿美元。图4为伊朗地形和人口分布示意图。据此完成11~12题。</w:t>
      </w:r>
    </w:p>
    <w:p w14:paraId="58A5C5C3">
      <w:pPr>
        <w:wordWrap w:val="0"/>
        <w:spacing w:line="0" w:lineRule="atLeast"/>
        <w:ind w:left="700"/>
        <w:jc w:val="left"/>
        <w:textAlignment w:val="baseline"/>
        <w:rPr>
          <w:rFonts w:ascii="宋体" w:hAnsi="宋体" w:eastAsia="宋体"/>
          <w:bCs/>
        </w:rPr>
      </w:pPr>
      <w:r>
        <w:rPr>
          <w:rFonts w:ascii="宋体" w:hAnsi="宋体" w:eastAsia="宋体"/>
          <w:bCs/>
        </w:rPr>
        <w:drawing>
          <wp:inline distT="0" distB="0" distL="0" distR="0">
            <wp:extent cx="5372100" cy="2755900"/>
            <wp:effectExtent l="0" t="0" r="0" b="0"/>
            <wp:docPr id="8" name="Draw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275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0B8E2">
      <w:pPr>
        <w:wordWrap w:val="0"/>
        <w:spacing w:line="340" w:lineRule="atLeast"/>
        <w:ind w:left="10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11.推测影响伊朗人口分布的主要因素是</w:t>
      </w:r>
    </w:p>
    <w:p w14:paraId="32E19749">
      <w:pPr>
        <w:wordWrap w:val="0"/>
        <w:spacing w:line="340" w:lineRule="atLeast"/>
        <w:ind w:left="58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A.热量           B.水源               地形地势       D.石油资源</w:t>
      </w:r>
    </w:p>
    <w:p w14:paraId="1375958D">
      <w:pPr>
        <w:wordWrap w:val="0"/>
        <w:spacing w:line="340" w:lineRule="atLeast"/>
        <w:ind w:left="10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12.伊朗政府考虑迁都至马克兰地区的主要驱动力是</w:t>
      </w:r>
    </w:p>
    <w:p w14:paraId="20F70762">
      <w:pPr>
        <w:wordWrap w:val="0"/>
        <w:spacing w:line="340" w:lineRule="atLeast"/>
        <w:ind w:left="58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A.德黑兰的经济中心地位下降         B.开发马克兰地区的资源潜力</w:t>
      </w:r>
    </w:p>
    <w:p w14:paraId="3FE3072E">
      <w:pPr>
        <w:wordWrap w:val="0"/>
        <w:spacing w:line="340" w:lineRule="atLeast"/>
        <w:ind w:left="58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C.缓解德黑兰的资源环境压力         D.推动欠发达地区的经济发展</w:t>
      </w:r>
    </w:p>
    <w:p w14:paraId="03973B9E">
      <w:pPr>
        <w:wordWrap w:val="0"/>
        <w:spacing w:line="340" w:lineRule="atLeast"/>
        <w:ind w:left="100" w:right="380" w:firstLine="46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叶尔羌河上游山区发育有多条冰川，其中克亚吉尔冰川末端经常阻断河谷形成冰湖，冰湖溃决会引发叶尔羌河洪水，对下游流域造成严重威胁。研究表明，该冰湖在1990~2023年间面积总体呈下降趋势，但洪水风险并未降低。图5示意由克亚吉尔冰舌拦蓄而成的沿东西方向延伸的冰川堰塞湖。据此完13~14题。</w:t>
      </w:r>
    </w:p>
    <w:p w14:paraId="5BD6CFF3">
      <w:pPr>
        <w:wordWrap w:val="0"/>
        <w:spacing w:line="0" w:lineRule="atLeast"/>
        <w:jc w:val="left"/>
        <w:textAlignment w:val="baseline"/>
        <w:rPr>
          <w:rFonts w:ascii="宋体" w:hAnsi="宋体" w:eastAsia="宋体"/>
          <w:bCs/>
        </w:rPr>
      </w:pPr>
      <w:r>
        <w:rPr>
          <w:rFonts w:ascii="宋体" w:hAnsi="宋体" w:eastAsia="宋体"/>
          <w:bCs/>
        </w:rPr>
        <w:drawing>
          <wp:inline distT="0" distB="0" distL="0" distR="0">
            <wp:extent cx="6096000" cy="2425700"/>
            <wp:effectExtent l="0" t="0" r="0" b="0"/>
            <wp:docPr id="10" name="Draw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242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475EB">
      <w:pPr>
        <w:wordWrap w:val="0"/>
        <w:spacing w:line="200" w:lineRule="exact"/>
        <w:jc w:val="left"/>
        <w:textAlignment w:val="baseline"/>
        <w:rPr>
          <w:rFonts w:ascii="宋体" w:hAnsi="宋体" w:eastAsia="宋体"/>
          <w:bCs/>
          <w:sz w:val="20"/>
        </w:rPr>
      </w:pPr>
    </w:p>
    <w:p w14:paraId="6F5C8DA3">
      <w:pPr>
        <w:wordWrap w:val="0"/>
        <w:spacing w:line="200" w:lineRule="exact"/>
        <w:jc w:val="left"/>
        <w:textAlignment w:val="baseline"/>
        <w:rPr>
          <w:rFonts w:ascii="宋体" w:hAnsi="宋体" w:eastAsia="宋体"/>
          <w:bCs/>
          <w:sz w:val="20"/>
        </w:rPr>
      </w:pPr>
    </w:p>
    <w:p w14:paraId="4CB29B2D">
      <w:pPr>
        <w:wordWrap w:val="0"/>
        <w:spacing w:line="280" w:lineRule="atLeast"/>
        <w:jc w:val="center"/>
        <w:textAlignment w:val="baseline"/>
        <w:rPr>
          <w:rFonts w:hint="eastAsia" w:ascii="宋体" w:hAnsi="宋体" w:eastAsia="宋体"/>
          <w:bCs/>
          <w:sz w:val="20"/>
        </w:rPr>
        <w:sectPr>
          <w:pgSz w:w="23800" w:h="16820" w:orient="landscape"/>
          <w:pgMar w:top="1300" w:right="2180" w:bottom="1300" w:left="2180" w:header="720" w:footer="720" w:gutter="0"/>
          <w:cols w:equalWidth="0" w:num="2">
            <w:col w:w="9180" w:space="640"/>
            <w:col w:w="9620"/>
          </w:cols>
        </w:sectPr>
      </w:pPr>
    </w:p>
    <w:p w14:paraId="4ACF3DD5">
      <w:pPr>
        <w:wordWrap w:val="0"/>
        <w:spacing w:line="360" w:lineRule="atLeast"/>
        <w:textAlignment w:val="baseline"/>
        <w:rPr>
          <w:rFonts w:ascii="宋体" w:hAnsi="宋体" w:eastAsia="宋体" w:cs="楷体"/>
          <w:bCs/>
          <w:color w:val="000000"/>
          <w:sz w:val="24"/>
        </w:rPr>
      </w:pPr>
    </w:p>
    <w:p w14:paraId="7AF7FC03">
      <w:pPr>
        <w:wordWrap w:val="0"/>
        <w:spacing w:line="360" w:lineRule="atLeast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13.克亚吉尔冰湖面积总体下降，但下游洪水风险并未降低的主要原因是</w:t>
      </w:r>
    </w:p>
    <w:p w14:paraId="168C0A29">
      <w:pPr>
        <w:wordWrap w:val="0"/>
        <w:spacing w:line="340" w:lineRule="atLeast"/>
        <w:ind w:left="500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A.下游段河道泥沙淤积严重          B.下游地区过度开垦，植被破坏严瘟</w:t>
      </w:r>
    </w:p>
    <w:p w14:paraId="156E7F2B">
      <w:pPr>
        <w:wordWrap w:val="0"/>
        <w:spacing w:line="340" w:lineRule="atLeast"/>
        <w:ind w:left="500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C.冰川后退溯源侵蚀力量强          D.下游地区人口增加，经济产值集中</w:t>
      </w:r>
    </w:p>
    <w:p w14:paraId="4B1157E8">
      <w:pPr>
        <w:wordWrap w:val="0"/>
        <w:spacing w:line="360" w:lineRule="atLeast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14.为应对克亚吉尔冰湖溃决洪水对下游带来的中长期风险，可采取的有效措施是</w:t>
      </w:r>
    </w:p>
    <w:p w14:paraId="73663D77">
      <w:pPr>
        <w:wordWrap w:val="0"/>
        <w:spacing w:line="340" w:lineRule="atLeast"/>
        <w:ind w:left="500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A.炸毁冰坝以消除冰湖渍决风险      B.在下游修建大规模水库</w:t>
      </w:r>
    </w:p>
    <w:p w14:paraId="3450E46F">
      <w:pPr>
        <w:wordWrap w:val="0"/>
        <w:spacing w:line="340" w:lineRule="atLeast"/>
        <w:ind w:left="500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C.建立冰川监测和洪水预警系统       D.限制下游人口迁移活动</w:t>
      </w:r>
    </w:p>
    <w:p w14:paraId="1E5846E0">
      <w:pPr>
        <w:wordWrap w:val="0"/>
        <w:spacing w:line="360" w:lineRule="atLeast"/>
        <w:ind w:firstLine="50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重晶石是一种重要的战略性非金属矿产，应用于油气勘探、化工、冶金、医学、军事及建材等行业，其中80~90%用于石油开采。我国重晶石属优势矿产，矿床以大型、中型为主，但地区分布极为不均，实际开采则以乡镇企业或个体小矿为主。图6示意2021年世界重晶石资源储量及产量地区分布情况，图7示意预测2021~2060年我国重晶石年产量，据此完成15~16题。</w:t>
      </w:r>
    </w:p>
    <w:p w14:paraId="3BA3BCF7">
      <w:pPr>
        <w:wordWrap w:val="0"/>
        <w:spacing w:line="0" w:lineRule="atLeast"/>
        <w:jc w:val="right"/>
        <w:textAlignment w:val="baseline"/>
        <w:rPr>
          <w:rFonts w:ascii="宋体" w:hAnsi="宋体" w:eastAsia="宋体"/>
          <w:bCs/>
        </w:rPr>
      </w:pPr>
      <w:r>
        <w:rPr>
          <w:rFonts w:ascii="宋体" w:hAnsi="宋体" w:eastAsia="宋体"/>
          <w:bCs/>
        </w:rPr>
        <w:drawing>
          <wp:inline distT="0" distB="0" distL="0" distR="0">
            <wp:extent cx="5016500" cy="4356100"/>
            <wp:effectExtent l="0" t="0" r="0" b="0"/>
            <wp:docPr id="12" name="Draw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rawing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16500" cy="435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53569">
      <w:pPr>
        <w:wordWrap w:val="0"/>
        <w:spacing w:line="360" w:lineRule="atLeast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15.我国将重晶石列入战略性矿产资源的原因有</w:t>
      </w:r>
    </w:p>
    <w:p w14:paraId="5E2EC347">
      <w:pPr>
        <w:wordWrap w:val="0"/>
        <w:spacing w:line="360" w:lineRule="atLeast"/>
        <w:ind w:left="50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①是重要的能源材料                   ②用途广但产量少</w:t>
      </w:r>
    </w:p>
    <w:p w14:paraId="4306553B">
      <w:pPr>
        <w:wordWrap w:val="0"/>
        <w:spacing w:line="360" w:lineRule="atLeast"/>
        <w:ind w:left="50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③生产过程低效粗放                   ④储采比相对较低</w:t>
      </w:r>
    </w:p>
    <w:p w14:paraId="65009B7D">
      <w:pPr>
        <w:wordWrap w:val="0"/>
        <w:spacing w:line="340" w:lineRule="atLeast"/>
        <w:ind w:left="500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A. ①②          B. ①③            C. ②④            D. ③④</w:t>
      </w:r>
    </w:p>
    <w:p w14:paraId="6359E931">
      <w:pPr>
        <w:wordWrap w:val="0"/>
        <w:spacing w:line="360" w:lineRule="atLeast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16.在“双碳”经济背景下 预测2040年之后我国重品石产量变化的原因是</w:t>
      </w:r>
    </w:p>
    <w:p w14:paraId="0B53F464">
      <w:pPr>
        <w:wordWrap w:val="0"/>
        <w:spacing w:line="340" w:lineRule="atLeast"/>
        <w:ind w:left="500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A.能源结构调整                      B.资源濒临枯竭</w:t>
      </w:r>
    </w:p>
    <w:p w14:paraId="2ED34FE9">
      <w:pPr>
        <w:wordWrap w:val="0"/>
        <w:spacing w:line="340" w:lineRule="atLeast"/>
        <w:ind w:left="500"/>
        <w:textAlignment w:val="baseline"/>
        <w:rPr>
          <w:rFonts w:ascii="宋体" w:hAnsi="宋体" w:eastAsia="宋体"/>
          <w:bCs/>
          <w:sz w:val="25"/>
        </w:rPr>
      </w:pPr>
      <w:r>
        <w:rPr>
          <w:rFonts w:ascii="宋体" w:hAnsi="宋体" w:eastAsia="宋体" w:cs="楷体"/>
          <w:bCs/>
          <w:color w:val="000000"/>
          <w:sz w:val="25"/>
        </w:rPr>
        <w:t>C.开采成本上升                      D.世界产能过剩</w:t>
      </w:r>
    </w:p>
    <w:p w14:paraId="7BAD5E3B">
      <w:pPr>
        <w:wordWrap w:val="0"/>
        <w:spacing w:line="280" w:lineRule="exact"/>
        <w:textAlignment w:val="baseline"/>
        <w:rPr>
          <w:rFonts w:ascii="宋体" w:hAnsi="宋体" w:eastAsia="宋体"/>
          <w:bCs/>
          <w:sz w:val="25"/>
        </w:rPr>
      </w:pPr>
    </w:p>
    <w:p w14:paraId="4504ED4D">
      <w:pPr>
        <w:wordWrap w:val="0"/>
        <w:spacing w:line="320" w:lineRule="atLeast"/>
        <w:textAlignment w:val="baseline"/>
        <w:rPr>
          <w:rFonts w:hint="eastAsia" w:ascii="宋体" w:hAnsi="宋体" w:eastAsia="宋体"/>
          <w:bCs/>
          <w:sz w:val="23"/>
        </w:rPr>
      </w:pPr>
    </w:p>
    <w:p w14:paraId="69108427">
      <w:pPr>
        <w:spacing w:line="20" w:lineRule="exact"/>
        <w:textAlignment w:val="bottom"/>
        <w:rPr>
          <w:rFonts w:ascii="宋体" w:hAnsi="宋体" w:eastAsia="宋体"/>
          <w:bCs/>
        </w:rPr>
      </w:pPr>
      <w:r>
        <w:rPr>
          <w:rFonts w:ascii="宋体" w:hAnsi="宋体" w:eastAsia="宋体"/>
          <w:bCs/>
        </w:rPr>
        <w:br w:type="column"/>
      </w:r>
    </w:p>
    <w:p w14:paraId="61F46DE2">
      <w:pPr>
        <w:wordWrap w:val="0"/>
        <w:spacing w:line="440" w:lineRule="atLeast"/>
        <w:jc w:val="center"/>
        <w:textAlignment w:val="baseline"/>
        <w:rPr>
          <w:rFonts w:ascii="宋体" w:hAnsi="宋体" w:eastAsia="宋体" w:cs="黑体"/>
          <w:bCs/>
          <w:color w:val="000000"/>
          <w:sz w:val="32"/>
        </w:rPr>
      </w:pPr>
    </w:p>
    <w:p w14:paraId="39AABC90">
      <w:pPr>
        <w:wordWrap w:val="0"/>
        <w:spacing w:line="440" w:lineRule="atLeast"/>
        <w:jc w:val="center"/>
        <w:textAlignment w:val="baseline"/>
        <w:rPr>
          <w:rFonts w:ascii="宋体" w:hAnsi="宋体" w:eastAsia="宋体"/>
          <w:bCs/>
          <w:sz w:val="32"/>
        </w:rPr>
      </w:pPr>
      <w:r>
        <w:rPr>
          <w:rFonts w:ascii="宋体" w:hAnsi="宋体" w:eastAsia="宋体" w:cs="黑体"/>
          <w:bCs/>
          <w:color w:val="000000"/>
          <w:sz w:val="32"/>
        </w:rPr>
        <w:t>第Ⅱ卷 非选择题</w:t>
      </w:r>
    </w:p>
    <w:p w14:paraId="6610A578">
      <w:pPr>
        <w:wordWrap w:val="0"/>
        <w:spacing w:line="360" w:lineRule="atLeast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宋体"/>
          <w:bCs/>
          <w:color w:val="000000"/>
          <w:sz w:val="24"/>
        </w:rPr>
        <w:t>二、非选择题：本题共3 小题，共52分。</w:t>
      </w:r>
    </w:p>
    <w:p w14:paraId="27A8DF89">
      <w:pPr>
        <w:wordWrap w:val="0"/>
        <w:spacing w:line="360" w:lineRule="atLeast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宋体"/>
          <w:bCs/>
          <w:color w:val="000000"/>
          <w:sz w:val="24"/>
        </w:rPr>
        <w:t>17.阅读图文材料，完成下列要求。(18分)</w:t>
      </w:r>
    </w:p>
    <w:p w14:paraId="149456AD">
      <w:pPr>
        <w:wordWrap w:val="0"/>
        <w:spacing w:line="360" w:lineRule="atLeast"/>
        <w:ind w:right="760" w:firstLine="40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宋体"/>
          <w:bCs/>
          <w:color w:val="000000"/>
          <w:sz w:val="24"/>
        </w:rPr>
        <w:t>海南进出岛交通主要靠水运和空运，其中水运是物资进出岛的主要方式，琼州海峡承担了90%以上生活物资和全部车辆进出岛的运输任务，是海南岛重要民生通道。据海南省气候中心统计，2004年至2024年，春节前后(春节前两天至大年初八)海口和琼州海峡平均大雾日数为2.3天，大雾出现概率达75%。近3年的1月和2月期间，海峡大雾共出现21天，其中南北两岸同时出现大雾的有9天，仅出现在南岸的大雾有16天，占比达到70%。琼州海峡大雾以间歇性为主，尤其是凌晨4点至早上8点大雾出现频次较高。 图8为琼州海峡及周边地区位置分布图。</w:t>
      </w:r>
    </w:p>
    <w:p w14:paraId="19CDDE67">
      <w:pPr>
        <w:wordWrap w:val="0"/>
        <w:spacing w:line="0" w:lineRule="atLeast"/>
        <w:ind w:left="60"/>
        <w:jc w:val="left"/>
        <w:textAlignment w:val="baseline"/>
        <w:rPr>
          <w:rFonts w:ascii="宋体" w:hAnsi="宋体" w:eastAsia="宋体"/>
          <w:bCs/>
        </w:rPr>
      </w:pPr>
      <w:r>
        <w:rPr>
          <w:rFonts w:ascii="宋体" w:hAnsi="宋体" w:eastAsia="宋体"/>
          <w:bCs/>
        </w:rPr>
        <w:drawing>
          <wp:inline distT="0" distB="0" distL="0" distR="0">
            <wp:extent cx="6477000" cy="2705100"/>
            <wp:effectExtent l="0" t="0" r="0" b="0"/>
            <wp:docPr id="14" name="Drawing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9C7B3">
      <w:pPr>
        <w:wordWrap w:val="0"/>
        <w:spacing w:line="360" w:lineRule="atLeast"/>
        <w:ind w:left="420" w:right="740" w:hanging="42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宋体"/>
          <w:bCs/>
          <w:color w:val="000000"/>
          <w:sz w:val="24"/>
        </w:rPr>
        <w:t>(1)分析琼州海峡在春节前后、凌晨4点至早上8点大雾出现频次较高的自然原因。(6分)</w:t>
      </w:r>
    </w:p>
    <w:p w14:paraId="02CECCF0">
      <w:pPr>
        <w:wordWrap w:val="0"/>
        <w:spacing w:line="360" w:lineRule="atLeast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宋体"/>
          <w:bCs/>
          <w:color w:val="000000"/>
          <w:sz w:val="24"/>
        </w:rPr>
        <w:t>(2)推测近3年的1、2月期间，琼州海峡南岸比北岸多发海雾的自然原因。(6分)</w:t>
      </w:r>
    </w:p>
    <w:p w14:paraId="5298BB6C">
      <w:pPr>
        <w:wordWrap w:val="0"/>
        <w:spacing w:line="360" w:lineRule="atLeast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宋体"/>
          <w:bCs/>
          <w:color w:val="000000"/>
          <w:sz w:val="24"/>
        </w:rPr>
        <w:t>(3)简析春节期间海雾的高频出现对当地生活、生产带来的不利影响。(6分)</w:t>
      </w:r>
    </w:p>
    <w:p w14:paraId="485B0CD5">
      <w:pPr>
        <w:wordWrap w:val="0"/>
        <w:spacing w:line="380" w:lineRule="exact"/>
        <w:textAlignment w:val="baseline"/>
        <w:rPr>
          <w:rFonts w:ascii="宋体" w:hAnsi="宋体" w:eastAsia="宋体"/>
          <w:bCs/>
          <w:sz w:val="24"/>
        </w:rPr>
      </w:pPr>
    </w:p>
    <w:p w14:paraId="680815C0">
      <w:pPr>
        <w:wordWrap w:val="0"/>
        <w:spacing w:line="380" w:lineRule="exact"/>
        <w:textAlignment w:val="baseline"/>
        <w:rPr>
          <w:rFonts w:ascii="宋体" w:hAnsi="宋体" w:eastAsia="宋体"/>
          <w:bCs/>
          <w:sz w:val="24"/>
        </w:rPr>
      </w:pPr>
    </w:p>
    <w:p w14:paraId="193766CE">
      <w:pPr>
        <w:wordWrap w:val="0"/>
        <w:spacing w:line="380" w:lineRule="exact"/>
        <w:textAlignment w:val="baseline"/>
        <w:rPr>
          <w:rFonts w:ascii="宋体" w:hAnsi="宋体" w:eastAsia="宋体"/>
          <w:bCs/>
          <w:sz w:val="24"/>
        </w:rPr>
      </w:pPr>
    </w:p>
    <w:p w14:paraId="7D6FB091">
      <w:pPr>
        <w:wordWrap w:val="0"/>
        <w:spacing w:line="380" w:lineRule="exact"/>
        <w:textAlignment w:val="baseline"/>
        <w:rPr>
          <w:rFonts w:ascii="宋体" w:hAnsi="宋体" w:eastAsia="宋体"/>
          <w:bCs/>
          <w:sz w:val="24"/>
        </w:rPr>
      </w:pPr>
    </w:p>
    <w:p w14:paraId="40D5B2AC">
      <w:pPr>
        <w:wordWrap w:val="0"/>
        <w:spacing w:line="380" w:lineRule="exact"/>
        <w:textAlignment w:val="baseline"/>
        <w:rPr>
          <w:rFonts w:ascii="宋体" w:hAnsi="宋体" w:eastAsia="宋体"/>
          <w:bCs/>
          <w:sz w:val="24"/>
        </w:rPr>
      </w:pPr>
    </w:p>
    <w:p w14:paraId="61343E09">
      <w:pPr>
        <w:wordWrap w:val="0"/>
        <w:spacing w:line="380" w:lineRule="exact"/>
        <w:textAlignment w:val="baseline"/>
        <w:rPr>
          <w:rFonts w:ascii="宋体" w:hAnsi="宋体" w:eastAsia="宋体"/>
          <w:bCs/>
          <w:sz w:val="24"/>
        </w:rPr>
      </w:pPr>
    </w:p>
    <w:p w14:paraId="2C3CB909">
      <w:pPr>
        <w:wordWrap w:val="0"/>
        <w:spacing w:line="380" w:lineRule="exact"/>
        <w:textAlignment w:val="baseline"/>
        <w:rPr>
          <w:rFonts w:ascii="宋体" w:hAnsi="宋体" w:eastAsia="宋体"/>
          <w:bCs/>
          <w:sz w:val="24"/>
        </w:rPr>
      </w:pPr>
    </w:p>
    <w:p w14:paraId="02C268F3">
      <w:pPr>
        <w:wordWrap w:val="0"/>
        <w:spacing w:line="320" w:lineRule="atLeast"/>
        <w:textAlignment w:val="baseline"/>
        <w:rPr>
          <w:rFonts w:hint="eastAsia" w:ascii="宋体" w:hAnsi="宋体" w:eastAsia="宋体"/>
          <w:bCs/>
          <w:sz w:val="23"/>
        </w:rPr>
        <w:sectPr>
          <w:pgSz w:w="23800" w:h="16820" w:orient="landscape"/>
          <w:pgMar w:top="1100" w:right="1740" w:bottom="1100" w:left="1740" w:header="720" w:footer="720" w:gutter="0"/>
          <w:cols w:equalWidth="0" w:num="2">
            <w:col w:w="9620" w:space="420"/>
            <w:col w:w="10300"/>
          </w:cols>
        </w:sectPr>
      </w:pPr>
    </w:p>
    <w:p w14:paraId="7740DB2F">
      <w:pPr>
        <w:wordWrap w:val="0"/>
        <w:spacing w:before="20" w:line="400" w:lineRule="atLeast"/>
        <w:ind w:left="140" w:firstLine="52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18.阅读图文资料，完成下列要求。(16分)</w:t>
      </w:r>
    </w:p>
    <w:p w14:paraId="0E25A107">
      <w:pPr>
        <w:wordWrap w:val="0"/>
        <w:spacing w:line="400" w:lineRule="atLeast"/>
        <w:ind w:left="140" w:firstLine="52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西藏位于青藏高原的核心地带，是气候变化的敏感区。粮食产量较低，已成为限制高原社会经济发展的重要因素。研究者考虑口粮、饲料用粮、工业用粮、种子用粮和损耗等五部分需求，作为粮食需求量总和，同时结合气候变化对西藏粮食供给的影响，进而对气候变化背景下的西藏粮食供需平衡状况进行预测。图9示意考虑当地气候暖湿化背景下2014~2016年、2030年、2050年西藏县级尺度粮食供需平衡状况的空间分布图。图10示意西藏河流水系的分布。</w:t>
      </w:r>
    </w:p>
    <w:p w14:paraId="549F32D4">
      <w:pPr>
        <w:wordWrap w:val="0"/>
        <w:spacing w:line="0" w:lineRule="atLeast"/>
        <w:jc w:val="left"/>
        <w:textAlignment w:val="baseline"/>
        <w:rPr>
          <w:rFonts w:ascii="宋体" w:hAnsi="宋体" w:eastAsia="宋体"/>
          <w:bCs/>
        </w:rPr>
      </w:pPr>
      <w:r>
        <w:rPr>
          <w:rFonts w:ascii="宋体" w:hAnsi="宋体" w:eastAsia="宋体"/>
          <w:bCs/>
        </w:rPr>
        <w:drawing>
          <wp:inline distT="0" distB="0" distL="0" distR="0">
            <wp:extent cx="5359400" cy="6248400"/>
            <wp:effectExtent l="0" t="0" r="0" b="0"/>
            <wp:docPr id="16" name="Draw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rawing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5940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DCC13">
      <w:pPr>
        <w:wordWrap w:val="0"/>
        <w:spacing w:line="400" w:lineRule="atLeast"/>
        <w:ind w:left="14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(1)描述气候变化影响下西藏粮食自给率的变化特征。(4分)</w:t>
      </w:r>
    </w:p>
    <w:p w14:paraId="613AE5AB">
      <w:pPr>
        <w:wordWrap w:val="0"/>
        <w:spacing w:line="400" w:lineRule="atLeast"/>
        <w:ind w:left="14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(2)分析拉萨地区是粮食自给率下降最快地区之一的社会原因。(6分)</w:t>
      </w:r>
    </w:p>
    <w:p w14:paraId="2B89B933">
      <w:pPr>
        <w:wordWrap w:val="0"/>
        <w:spacing w:line="400" w:lineRule="atLeast"/>
        <w:ind w:left="14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(3)阐释研究气候变化对西藏环境和粮食自给率的现实意义。(6分)</w:t>
      </w:r>
    </w:p>
    <w:p w14:paraId="5D929877">
      <w:pPr>
        <w:wordWrap w:val="0"/>
        <w:spacing w:line="420" w:lineRule="exact"/>
        <w:textAlignment w:val="baseline"/>
        <w:rPr>
          <w:rFonts w:ascii="宋体" w:hAnsi="宋体" w:eastAsia="宋体"/>
          <w:bCs/>
          <w:sz w:val="24"/>
        </w:rPr>
      </w:pPr>
    </w:p>
    <w:p w14:paraId="5BEFFD3F">
      <w:pPr>
        <w:wordWrap w:val="0"/>
        <w:spacing w:line="320" w:lineRule="atLeast"/>
        <w:textAlignment w:val="baseline"/>
        <w:rPr>
          <w:rFonts w:hint="eastAsia" w:ascii="宋体" w:hAnsi="宋体" w:eastAsia="宋体"/>
          <w:bCs/>
          <w:sz w:val="23"/>
        </w:rPr>
      </w:pPr>
    </w:p>
    <w:p w14:paraId="20D348EF">
      <w:pPr>
        <w:spacing w:line="20" w:lineRule="exact"/>
        <w:textAlignment w:val="bottom"/>
        <w:rPr>
          <w:rFonts w:ascii="宋体" w:hAnsi="宋体" w:eastAsia="宋体"/>
          <w:bCs/>
        </w:rPr>
      </w:pPr>
      <w:r>
        <w:rPr>
          <w:rFonts w:ascii="宋体" w:hAnsi="宋体" w:eastAsia="宋体"/>
          <w:bCs/>
        </w:rPr>
        <w:br w:type="column"/>
      </w:r>
    </w:p>
    <w:p w14:paraId="64A1B3A4">
      <w:pPr>
        <w:wordWrap w:val="0"/>
        <w:spacing w:line="400" w:lineRule="atLeast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19.阅读图文材料，完成下列要求。(18分)</w:t>
      </w:r>
    </w:p>
    <w:p w14:paraId="2A758AF9">
      <w:pPr>
        <w:wordWrap w:val="0"/>
        <w:spacing w:line="400" w:lineRule="atLeast"/>
        <w:ind w:right="740" w:firstLine="48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海底峡谷发育在大陆架和坡折带(指地形坡度突变的地带)陆坡区，在油气勘探方面具有重要意义。研究表明，海底峡谷的形成通常与构造运动、海底地形坡度、深水环境下的重力流(在重力作用下发生的弥散有大量沉积物的高密度流体，快速流动时对下伏地层产生明显剥蚀)等密切相关。鲁伍马盆地是东非陆缘的重要含油气盆地之一。盆地内发育多个海底峡谷(编号A-J)，整体呈东西走向。图11-a示意鲁伍马盆地区域位置，</w:t>
      </w:r>
      <w:r>
        <w:rPr>
          <w:rFonts w:ascii="宋体" w:hAnsi="宋体" w:eastAsia="宋体" w:cs="仿宋"/>
          <w:bCs/>
          <w:color w:val="000000"/>
          <w:sz w:val="24"/>
        </w:rPr>
        <w:t>图11-b示意盆地内峡谷形态特征。</w:t>
      </w:r>
    </w:p>
    <w:p w14:paraId="7A61379D">
      <w:pPr>
        <w:wordWrap w:val="0"/>
        <w:spacing w:line="0" w:lineRule="atLeast"/>
        <w:ind w:left="20"/>
        <w:jc w:val="left"/>
        <w:textAlignment w:val="baseline"/>
        <w:rPr>
          <w:rFonts w:ascii="宋体" w:hAnsi="宋体" w:eastAsia="宋体"/>
          <w:bCs/>
        </w:rPr>
      </w:pPr>
      <w:r>
        <w:rPr>
          <w:rFonts w:ascii="宋体" w:hAnsi="宋体" w:eastAsia="宋体"/>
          <w:bCs/>
        </w:rPr>
        <w:drawing>
          <wp:inline distT="0" distB="0" distL="0" distR="0">
            <wp:extent cx="6604000" cy="6362700"/>
            <wp:effectExtent l="0" t="0" r="0" b="0"/>
            <wp:docPr id="18" name="Draw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rawing 1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0400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F74F9">
      <w:pPr>
        <w:wordWrap w:val="0"/>
        <w:spacing w:line="400" w:lineRule="atLeast"/>
        <w:ind w:left="440" w:right="780" w:hanging="440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仿宋"/>
          <w:bCs/>
          <w:color w:val="000000"/>
          <w:sz w:val="24"/>
        </w:rPr>
        <w:t>(1)研究表明海底峡谷发育的成因与下伏地层中天然气逃逸形成的“麻坑”密切相关，请对此做出合理解释。(4分)</w:t>
      </w:r>
    </w:p>
    <w:p w14:paraId="465766DF">
      <w:pPr>
        <w:wordWrap w:val="0"/>
        <w:spacing w:line="400" w:lineRule="atLeast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(2)结合图11-b，分析海底峡谷B由上游至下游剖面形态特征的变化及成因。(8分)</w:t>
      </w:r>
    </w:p>
    <w:p w14:paraId="221260F0">
      <w:pPr>
        <w:wordWrap w:val="0"/>
        <w:spacing w:line="400" w:lineRule="atLeast"/>
        <w:textAlignment w:val="baseline"/>
        <w:rPr>
          <w:rFonts w:ascii="宋体" w:hAnsi="宋体" w:eastAsia="宋体"/>
          <w:bCs/>
          <w:sz w:val="24"/>
        </w:rPr>
      </w:pPr>
      <w:r>
        <w:rPr>
          <w:rFonts w:ascii="宋体" w:hAnsi="宋体" w:eastAsia="宋体" w:cs="楷体"/>
          <w:bCs/>
          <w:color w:val="000000"/>
          <w:sz w:val="24"/>
        </w:rPr>
        <w:t>(3)有人认为甲、乙、丙三地中最适宜油气勘探开发的是甲地，试推测其原因。(6分)</w:t>
      </w:r>
    </w:p>
    <w:p w14:paraId="361DAE8E">
      <w:pPr>
        <w:wordWrap w:val="0"/>
        <w:spacing w:line="340" w:lineRule="atLeast"/>
        <w:jc w:val="center"/>
        <w:textAlignment w:val="baseline"/>
        <w:rPr>
          <w:rFonts w:hint="eastAsia" w:ascii="宋体" w:hAnsi="宋体" w:eastAsia="宋体"/>
          <w:bCs/>
          <w:sz w:val="24"/>
        </w:rPr>
      </w:pPr>
      <w:bookmarkStart w:id="0" w:name="_GoBack"/>
      <w:bookmarkEnd w:id="0"/>
    </w:p>
    <w:sectPr>
      <w:headerReference r:id="rId3" w:type="default"/>
      <w:footerReference r:id="rId4" w:type="default"/>
      <w:pgSz w:w="23800" w:h="16820" w:orient="landscape"/>
      <w:pgMar w:top="700" w:right="1420" w:bottom="700" w:left="1420" w:header="851" w:footer="992" w:gutter="0"/>
      <w:cols w:equalWidth="0" w:num="2">
        <w:col w:w="9760" w:space="740"/>
        <w:col w:w="10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7F5571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E3DDF"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354"/>
    <w:rsid w:val="004151FC"/>
    <w:rsid w:val="00512F98"/>
    <w:rsid w:val="00C02FC6"/>
    <w:rsid w:val="00D13354"/>
    <w:rsid w:val="24FF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3578</Words>
  <Characters>3880</Characters>
  <Lines>32</Lines>
  <Paragraphs>9</Paragraphs>
  <TotalTime>2</TotalTime>
  <ScaleCrop>false</ScaleCrop>
  <LinksUpToDate>false</LinksUpToDate>
  <CharactersWithSpaces>4476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2025-04-01T04:06:00Z</dcterms:created>
  <dc:creator>何京应</dc:creator>
  <cp:lastModifiedBy>何京应</cp:lastModifiedBy>
  <dcterms:modified xsi:type="dcterms:W3CDTF">2025-04-03T06:53:50Z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eyJoZGlkIjoiMmQyOWI4MTA5ZjUxOTVhZDRlNGViNjg4YmFkOWNhMjAiLCJ1c2VySWQiOiI3NjQ3NDAxODcifQ==</vt:lpwstr>
  </property>
  <property fmtid="{D5CDD505-2E9C-101B-9397-08002B2CF9AE}" pid="3" name="KSOProductBuildVer">
    <vt:lpwstr>2052-12.1.0.20784</vt:lpwstr>
  </property>
  <property fmtid="{D5CDD505-2E9C-101B-9397-08002B2CF9AE}" pid="4" name="ICV">
    <vt:lpwstr>FCAB8F424D454ED7914057C1EB1E30D3_12</vt:lpwstr>
  </property>
</Properties>
</file>